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56B6EB" w14:textId="1B633848" w:rsidR="00AE0CC6" w:rsidRPr="00E847D0" w:rsidRDefault="00AE0CC6" w:rsidP="00AE0CC6">
      <w:pPr>
        <w:tabs>
          <w:tab w:val="center" w:pos="4536"/>
          <w:tab w:val="right" w:pos="8280"/>
          <w:tab w:val="right" w:pos="9639"/>
        </w:tabs>
        <w:ind w:right="2"/>
        <w:rPr>
          <w:rFonts w:ascii="Arial" w:hAnsi="Arial" w:cs="Arial"/>
          <w:b/>
          <w:bCs/>
        </w:rPr>
      </w:pPr>
      <w:r w:rsidRPr="00E847D0">
        <w:rPr>
          <w:rFonts w:ascii="Arial" w:hAnsi="Arial" w:cs="Arial"/>
          <w:b/>
          <w:bCs/>
        </w:rPr>
        <w:t>3GPP TSG RAN WG1 #100bis</w:t>
      </w:r>
      <w:r w:rsidRPr="00E847D0">
        <w:rPr>
          <w:rFonts w:ascii="Arial" w:hAnsi="Arial" w:cs="Arial"/>
          <w:b/>
          <w:bCs/>
        </w:rPr>
        <w:tab/>
      </w:r>
      <w:r w:rsidRPr="00E847D0">
        <w:rPr>
          <w:rFonts w:ascii="Arial" w:hAnsi="Arial" w:cs="Arial"/>
          <w:b/>
          <w:bCs/>
        </w:rPr>
        <w:tab/>
      </w:r>
      <w:r w:rsidRPr="00A51146">
        <w:rPr>
          <w:rFonts w:ascii="Arial" w:hAnsi="Arial" w:cs="Arial"/>
          <w:b/>
          <w:bCs/>
        </w:rPr>
        <w:t>R1-20</w:t>
      </w:r>
      <w:r w:rsidR="00A51146" w:rsidRPr="00A51146">
        <w:rPr>
          <w:rFonts w:ascii="Arial" w:hAnsi="Arial" w:cs="Arial"/>
          <w:b/>
          <w:bCs/>
        </w:rPr>
        <w:t>02343</w:t>
      </w:r>
    </w:p>
    <w:p w14:paraId="67B40BD8" w14:textId="77777777" w:rsidR="00AE0CC6" w:rsidRPr="00E847D0" w:rsidRDefault="00AE0CC6" w:rsidP="00AE0CC6">
      <w:pPr>
        <w:tabs>
          <w:tab w:val="center" w:pos="4536"/>
          <w:tab w:val="right" w:pos="9072"/>
        </w:tabs>
        <w:rPr>
          <w:rFonts w:ascii="Arial" w:eastAsia="MS Mincho" w:hAnsi="Arial" w:cs="Arial"/>
          <w:b/>
          <w:bCs/>
          <w:lang w:eastAsia="ja-JP"/>
        </w:rPr>
      </w:pPr>
      <w:r w:rsidRPr="00E847D0">
        <w:rPr>
          <w:rFonts w:ascii="Arial" w:eastAsia="MS Mincho" w:hAnsi="Arial" w:cs="Arial"/>
          <w:b/>
          <w:bCs/>
          <w:lang w:eastAsia="ja-JP"/>
        </w:rPr>
        <w:t>e-Meeting, April 20</w:t>
      </w:r>
      <w:r w:rsidRPr="00E847D0">
        <w:rPr>
          <w:rFonts w:ascii="Arial" w:eastAsia="MS Mincho" w:hAnsi="Arial" w:cs="Arial"/>
          <w:b/>
          <w:bCs/>
          <w:vertAlign w:val="superscript"/>
          <w:lang w:eastAsia="ja-JP"/>
        </w:rPr>
        <w:t>th</w:t>
      </w:r>
      <w:r w:rsidRPr="00E847D0">
        <w:rPr>
          <w:rFonts w:ascii="Arial" w:eastAsia="MS Mincho" w:hAnsi="Arial" w:cs="Arial"/>
          <w:b/>
          <w:bCs/>
          <w:lang w:eastAsia="ja-JP"/>
        </w:rPr>
        <w:t xml:space="preserve"> – 30</w:t>
      </w:r>
      <w:r w:rsidRPr="00E847D0">
        <w:rPr>
          <w:rFonts w:ascii="Arial" w:eastAsia="MS Mincho" w:hAnsi="Arial" w:cs="Arial"/>
          <w:b/>
          <w:bCs/>
          <w:vertAlign w:val="superscript"/>
          <w:lang w:eastAsia="ja-JP"/>
        </w:rPr>
        <w:t>th</w:t>
      </w:r>
      <w:r w:rsidRPr="00E847D0">
        <w:rPr>
          <w:rFonts w:ascii="Arial" w:eastAsia="MS Mincho" w:hAnsi="Arial" w:cs="Arial"/>
          <w:b/>
          <w:bCs/>
          <w:lang w:eastAsia="ja-JP"/>
        </w:rPr>
        <w:t>, 2020</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1CD742FF"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313BC4">
        <w:rPr>
          <w:sz w:val="22"/>
          <w:szCs w:val="22"/>
        </w:rPr>
        <w:t>7.2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77545619" w:rsidR="00B23EB7" w:rsidRDefault="00B23EB7" w:rsidP="00B23EB7">
      <w:pPr>
        <w:pStyle w:val="3GPPHeader"/>
        <w:rPr>
          <w:sz w:val="22"/>
          <w:szCs w:val="22"/>
        </w:rPr>
      </w:pPr>
      <w:r w:rsidRPr="00315C6E">
        <w:rPr>
          <w:sz w:val="22"/>
          <w:szCs w:val="22"/>
        </w:rPr>
        <w:t>Title:</w:t>
      </w:r>
      <w:r w:rsidRPr="00315C6E">
        <w:rPr>
          <w:sz w:val="22"/>
          <w:szCs w:val="22"/>
        </w:rPr>
        <w:tab/>
      </w:r>
      <w:r w:rsidR="008E6897" w:rsidRPr="008E6897">
        <w:rPr>
          <w:sz w:val="22"/>
          <w:szCs w:val="22"/>
        </w:rPr>
        <w:t>Remaining Issues on Cross-</w:t>
      </w:r>
      <w:r w:rsidR="00771FC7">
        <w:rPr>
          <w:sz w:val="22"/>
          <w:szCs w:val="22"/>
        </w:rPr>
        <w:t>Slot Power Saving Techniques</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F26B9A">
      <w:pPr>
        <w:pStyle w:val="Heading1"/>
        <w:jc w:val="both"/>
      </w:pPr>
      <w:r w:rsidRPr="00315C6E">
        <w:t>Introduction</w:t>
      </w:r>
    </w:p>
    <w:p w14:paraId="1FC000C8" w14:textId="461F7A07" w:rsidR="00771FC7" w:rsidRPr="00EE09CD" w:rsidRDefault="00771FC7" w:rsidP="00771FC7">
      <w:pPr>
        <w:pStyle w:val="0Maintext"/>
        <w:spacing w:line="240" w:lineRule="auto"/>
        <w:ind w:firstLine="0"/>
        <w:rPr>
          <w:sz w:val="22"/>
          <w:szCs w:val="22"/>
        </w:rPr>
      </w:pPr>
      <w:r w:rsidRPr="00EE09CD">
        <w:rPr>
          <w:sz w:val="22"/>
          <w:szCs w:val="22"/>
          <w:lang w:val="en-US"/>
        </w:rPr>
        <w:t xml:space="preserve">In Rel-16, cross-slot power saving techniques were introduced to enable the UE </w:t>
      </w:r>
      <w:r w:rsidR="007A7EF5" w:rsidRPr="00EE09CD">
        <w:rPr>
          <w:sz w:val="22"/>
          <w:szCs w:val="22"/>
          <w:lang w:val="en-US"/>
        </w:rPr>
        <w:t>to reduce</w:t>
      </w:r>
      <w:r w:rsidRPr="00EE09CD">
        <w:rPr>
          <w:sz w:val="22"/>
          <w:szCs w:val="22"/>
          <w:lang w:val="en-US"/>
        </w:rPr>
        <w:t xml:space="preserve"> its power consumption after the receipt of a PDCCH based on the knowledge of the arrival/transmission of the PDSCH/PUSCH. </w:t>
      </w:r>
    </w:p>
    <w:p w14:paraId="01E08270" w14:textId="18EFF7AE" w:rsidR="00B706ED" w:rsidRPr="00EE09CD" w:rsidRDefault="00771FC7" w:rsidP="00702BAF">
      <w:pPr>
        <w:pStyle w:val="0Maintext"/>
        <w:spacing w:line="240" w:lineRule="auto"/>
        <w:ind w:firstLine="0"/>
        <w:rPr>
          <w:sz w:val="22"/>
          <w:szCs w:val="22"/>
          <w:lang w:val="en-US"/>
        </w:rPr>
      </w:pPr>
      <w:r w:rsidRPr="00EE09CD">
        <w:rPr>
          <w:sz w:val="22"/>
          <w:szCs w:val="22"/>
          <w:lang w:val="en-US"/>
        </w:rPr>
        <w:t xml:space="preserve"> </w:t>
      </w:r>
      <w:r w:rsidR="00A41183" w:rsidRPr="00EE09CD">
        <w:rPr>
          <w:sz w:val="22"/>
          <w:szCs w:val="22"/>
          <w:lang w:val="en-US"/>
        </w:rPr>
        <w:t xml:space="preserve">In </w:t>
      </w:r>
      <w:r w:rsidRPr="00EE09CD">
        <w:rPr>
          <w:sz w:val="22"/>
          <w:szCs w:val="22"/>
          <w:lang w:val="en-US"/>
        </w:rPr>
        <w:t xml:space="preserve">RAN1 #100-e, extensive discussions to clarify the factors to be considered for the scheduling offset in cross-BWP scheduling  resulted in the identification of two issues to be resolved in the current meeting </w:t>
      </w:r>
      <w:r w:rsidR="00A51146" w:rsidRPr="00EE09CD">
        <w:rPr>
          <w:sz w:val="22"/>
          <w:szCs w:val="22"/>
          <w:lang w:val="en-US"/>
        </w:rPr>
        <w:fldChar w:fldCharType="begin"/>
      </w:r>
      <w:r w:rsidR="00A51146" w:rsidRPr="00EE09CD">
        <w:rPr>
          <w:sz w:val="22"/>
          <w:szCs w:val="22"/>
          <w:lang w:val="en-US"/>
        </w:rPr>
        <w:instrText xml:space="preserve"> REF _Ref37387310 \r \h </w:instrText>
      </w:r>
      <w:r w:rsidR="00EE09CD">
        <w:rPr>
          <w:sz w:val="22"/>
          <w:szCs w:val="22"/>
          <w:lang w:val="en-US"/>
        </w:rPr>
        <w:instrText xml:space="preserve"> \* MERGEFORMAT </w:instrText>
      </w:r>
      <w:r w:rsidR="00A51146" w:rsidRPr="00EE09CD">
        <w:rPr>
          <w:sz w:val="22"/>
          <w:szCs w:val="22"/>
          <w:lang w:val="en-US"/>
        </w:rPr>
      </w:r>
      <w:r w:rsidR="00A51146" w:rsidRPr="00EE09CD">
        <w:rPr>
          <w:sz w:val="22"/>
          <w:szCs w:val="22"/>
          <w:lang w:val="en-US"/>
        </w:rPr>
        <w:fldChar w:fldCharType="separate"/>
      </w:r>
      <w:r w:rsidR="005E10D6">
        <w:rPr>
          <w:sz w:val="22"/>
          <w:szCs w:val="22"/>
          <w:lang w:val="en-US"/>
        </w:rPr>
        <w:t>[1]</w:t>
      </w:r>
      <w:r w:rsidR="00A51146" w:rsidRPr="00EE09CD">
        <w:rPr>
          <w:sz w:val="22"/>
          <w:szCs w:val="22"/>
          <w:lang w:val="en-US"/>
        </w:rPr>
        <w:fldChar w:fldCharType="end"/>
      </w:r>
      <w:r w:rsidRPr="00EE09CD">
        <w:rPr>
          <w:sz w:val="22"/>
          <w:szCs w:val="22"/>
          <w:lang w:val="en-US"/>
        </w:rPr>
        <w:t xml:space="preserve">. </w:t>
      </w:r>
      <w:r w:rsidR="0094241B">
        <w:rPr>
          <w:sz w:val="22"/>
          <w:szCs w:val="22"/>
          <w:lang w:val="en-US"/>
        </w:rPr>
        <w:t xml:space="preserve">In this contribution, we address these issues. </w:t>
      </w:r>
    </w:p>
    <w:p w14:paraId="022777CA" w14:textId="1A04D6FA" w:rsidR="00041988" w:rsidRDefault="00771FC7" w:rsidP="00702BAF">
      <w:pPr>
        <w:pStyle w:val="Heading1"/>
        <w:jc w:val="both"/>
      </w:pPr>
      <w:r>
        <w:t>Discussion</w:t>
      </w:r>
    </w:p>
    <w:p w14:paraId="22DCF02F" w14:textId="4F6CDC0E" w:rsidR="00EF39F5" w:rsidRPr="00EE09CD" w:rsidRDefault="00771FC7" w:rsidP="0094241B">
      <w:pPr>
        <w:jc w:val="both"/>
        <w:rPr>
          <w:rFonts w:eastAsia="Batang"/>
          <w:iCs/>
          <w:color w:val="000000"/>
          <w:kern w:val="2"/>
          <w:sz w:val="22"/>
          <w:szCs w:val="22"/>
        </w:rPr>
      </w:pPr>
      <w:r w:rsidRPr="00EE09CD">
        <w:rPr>
          <w:rFonts w:eastAsia="Batang"/>
          <w:iCs/>
          <w:color w:val="000000"/>
          <w:kern w:val="2"/>
          <w:sz w:val="22"/>
          <w:szCs w:val="22"/>
        </w:rPr>
        <w:t xml:space="preserve">The first issue </w:t>
      </w:r>
      <w:r w:rsidR="0094241B">
        <w:rPr>
          <w:rFonts w:eastAsia="Batang"/>
          <w:iCs/>
          <w:color w:val="000000"/>
          <w:kern w:val="2"/>
          <w:sz w:val="22"/>
          <w:szCs w:val="22"/>
        </w:rPr>
        <w:t>is</w:t>
      </w:r>
      <w:r w:rsidRPr="00EE09CD">
        <w:rPr>
          <w:rFonts w:eastAsia="Batang"/>
          <w:iCs/>
          <w:color w:val="000000"/>
          <w:kern w:val="2"/>
          <w:sz w:val="22"/>
          <w:szCs w:val="22"/>
        </w:rPr>
        <w:t xml:space="preserve"> on w</w:t>
      </w:r>
      <w:r w:rsidR="00EF39F5" w:rsidRPr="00EE09CD">
        <w:rPr>
          <w:rFonts w:eastAsia="Batang"/>
          <w:iCs/>
          <w:color w:val="000000"/>
          <w:kern w:val="2"/>
          <w:sz w:val="22"/>
          <w:szCs w:val="22"/>
        </w:rPr>
        <w:t>hether/how to apply the minimum scheduling offset restriction to all configured BWPs (including active and inactive ones)</w:t>
      </w:r>
      <w:r w:rsidRPr="00EE09CD">
        <w:rPr>
          <w:rFonts w:eastAsia="Batang"/>
          <w:iCs/>
          <w:color w:val="000000"/>
          <w:kern w:val="2"/>
          <w:sz w:val="22"/>
          <w:szCs w:val="22"/>
        </w:rPr>
        <w:t xml:space="preserve">. This issue seeks to address whether the applied minimum scheduling offset restriction for the active BWP can be applied to other inactive BWPs, for example, </w:t>
      </w:r>
      <w:r w:rsidR="0094241B">
        <w:rPr>
          <w:rFonts w:eastAsia="Batang"/>
          <w:iCs/>
          <w:color w:val="000000"/>
          <w:kern w:val="2"/>
          <w:sz w:val="22"/>
          <w:szCs w:val="22"/>
        </w:rPr>
        <w:t xml:space="preserve">in </w:t>
      </w:r>
      <w:r w:rsidRPr="00EE09CD">
        <w:rPr>
          <w:rFonts w:eastAsia="Batang"/>
          <w:iCs/>
          <w:color w:val="000000"/>
          <w:kern w:val="2"/>
          <w:sz w:val="22"/>
          <w:szCs w:val="22"/>
        </w:rPr>
        <w:t>the indicated BWP when the UE is directed to perform an active BWP change by DCI format 0_1 or 1_1.</w:t>
      </w:r>
    </w:p>
    <w:p w14:paraId="78E58F43" w14:textId="19B6076F" w:rsidR="00771FC7" w:rsidRPr="00EE09CD" w:rsidRDefault="00771FC7" w:rsidP="00771FC7">
      <w:pPr>
        <w:rPr>
          <w:rFonts w:eastAsia="Batang"/>
          <w:iCs/>
          <w:color w:val="000000"/>
          <w:kern w:val="2"/>
          <w:sz w:val="22"/>
          <w:szCs w:val="22"/>
        </w:rPr>
      </w:pPr>
    </w:p>
    <w:p w14:paraId="7747FE2B" w14:textId="2A0BA360" w:rsidR="00771FC7" w:rsidRPr="00EE09CD" w:rsidRDefault="00771FC7" w:rsidP="0094241B">
      <w:pPr>
        <w:jc w:val="both"/>
        <w:rPr>
          <w:rFonts w:eastAsia="Batang"/>
          <w:iCs/>
          <w:color w:val="000000"/>
          <w:kern w:val="2"/>
          <w:sz w:val="22"/>
          <w:szCs w:val="22"/>
        </w:rPr>
      </w:pPr>
      <w:r w:rsidRPr="00EE09CD">
        <w:rPr>
          <w:rFonts w:eastAsia="Batang"/>
          <w:iCs/>
          <w:color w:val="000000"/>
          <w:kern w:val="2"/>
          <w:sz w:val="22"/>
          <w:szCs w:val="22"/>
        </w:rPr>
        <w:t>In RAN1 #97</w:t>
      </w:r>
      <w:r w:rsidR="00A51146" w:rsidRPr="00EE09CD">
        <w:rPr>
          <w:rFonts w:eastAsia="Batang"/>
          <w:iCs/>
          <w:color w:val="000000"/>
          <w:kern w:val="2"/>
          <w:sz w:val="22"/>
          <w:szCs w:val="22"/>
        </w:rPr>
        <w:t xml:space="preserve"> </w:t>
      </w:r>
      <w:r w:rsidR="00A51146" w:rsidRPr="00EE09CD">
        <w:rPr>
          <w:rFonts w:eastAsia="Batang"/>
          <w:iCs/>
          <w:color w:val="000000"/>
          <w:kern w:val="2"/>
          <w:sz w:val="22"/>
          <w:szCs w:val="22"/>
        </w:rPr>
        <w:fldChar w:fldCharType="begin"/>
      </w:r>
      <w:r w:rsidR="00A51146" w:rsidRPr="00EE09CD">
        <w:rPr>
          <w:rFonts w:eastAsia="Batang"/>
          <w:iCs/>
          <w:color w:val="000000"/>
          <w:kern w:val="2"/>
          <w:sz w:val="22"/>
          <w:szCs w:val="22"/>
        </w:rPr>
        <w:instrText xml:space="preserve"> REF _Ref37387340 \r \h </w:instrText>
      </w:r>
      <w:r w:rsidR="00EE09CD">
        <w:rPr>
          <w:rFonts w:eastAsia="Batang"/>
          <w:iCs/>
          <w:color w:val="000000"/>
          <w:kern w:val="2"/>
          <w:sz w:val="22"/>
          <w:szCs w:val="22"/>
        </w:rPr>
        <w:instrText xml:space="preserve"> \* MERGEFORMAT </w:instrText>
      </w:r>
      <w:r w:rsidR="00A51146" w:rsidRPr="00EE09CD">
        <w:rPr>
          <w:rFonts w:eastAsia="Batang"/>
          <w:iCs/>
          <w:color w:val="000000"/>
          <w:kern w:val="2"/>
          <w:sz w:val="22"/>
          <w:szCs w:val="22"/>
        </w:rPr>
      </w:r>
      <w:r w:rsidR="00A51146" w:rsidRPr="00EE09CD">
        <w:rPr>
          <w:rFonts w:eastAsia="Batang"/>
          <w:iCs/>
          <w:color w:val="000000"/>
          <w:kern w:val="2"/>
          <w:sz w:val="22"/>
          <w:szCs w:val="22"/>
        </w:rPr>
        <w:fldChar w:fldCharType="separate"/>
      </w:r>
      <w:r w:rsidR="005E10D6">
        <w:rPr>
          <w:rFonts w:eastAsia="Batang"/>
          <w:iCs/>
          <w:color w:val="000000"/>
          <w:kern w:val="2"/>
          <w:sz w:val="22"/>
          <w:szCs w:val="22"/>
        </w:rPr>
        <w:t>[2]</w:t>
      </w:r>
      <w:r w:rsidR="00A51146" w:rsidRPr="00EE09CD">
        <w:rPr>
          <w:rFonts w:eastAsia="Batang"/>
          <w:iCs/>
          <w:color w:val="000000"/>
          <w:kern w:val="2"/>
          <w:sz w:val="22"/>
          <w:szCs w:val="22"/>
        </w:rPr>
        <w:fldChar w:fldCharType="end"/>
      </w:r>
      <w:r w:rsidRPr="00EE09CD">
        <w:rPr>
          <w:rFonts w:eastAsia="Batang"/>
          <w:iCs/>
          <w:color w:val="000000"/>
          <w:kern w:val="2"/>
          <w:sz w:val="22"/>
          <w:szCs w:val="22"/>
        </w:rPr>
        <w:t>, the following agreement was made:</w:t>
      </w:r>
    </w:p>
    <w:p w14:paraId="68B6BF4A" w14:textId="75C4F0D1" w:rsidR="00771FC7" w:rsidRPr="00EE09CD" w:rsidRDefault="00771FC7" w:rsidP="0094241B">
      <w:pPr>
        <w:jc w:val="both"/>
        <w:rPr>
          <w:rFonts w:eastAsia="Batang"/>
          <w:iCs/>
          <w:color w:val="000000"/>
          <w:kern w:val="2"/>
          <w:sz w:val="22"/>
          <w:szCs w:val="22"/>
        </w:rPr>
      </w:pPr>
    </w:p>
    <w:tbl>
      <w:tblPr>
        <w:tblW w:w="9090" w:type="dxa"/>
        <w:tblInd w:w="-10" w:type="dxa"/>
        <w:tblCellMar>
          <w:left w:w="0" w:type="dxa"/>
          <w:right w:w="0" w:type="dxa"/>
        </w:tblCellMar>
        <w:tblLook w:val="04A0" w:firstRow="1" w:lastRow="0" w:firstColumn="1" w:lastColumn="0" w:noHBand="0" w:noVBand="1"/>
      </w:tblPr>
      <w:tblGrid>
        <w:gridCol w:w="9090"/>
      </w:tblGrid>
      <w:tr w:rsidR="00771FC7" w:rsidRPr="00EE09CD" w14:paraId="3A45CF2D" w14:textId="77777777" w:rsidTr="00771FC7">
        <w:tc>
          <w:tcPr>
            <w:tcW w:w="90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520990" w14:textId="77777777" w:rsidR="00771FC7" w:rsidRPr="00EE09CD" w:rsidRDefault="00771FC7" w:rsidP="0094241B">
            <w:pPr>
              <w:jc w:val="both"/>
              <w:rPr>
                <w:rFonts w:eastAsia="Batang"/>
                <w:iCs/>
                <w:color w:val="000000"/>
                <w:kern w:val="2"/>
                <w:sz w:val="22"/>
                <w:szCs w:val="22"/>
              </w:rPr>
            </w:pPr>
            <w:r w:rsidRPr="00EE09CD">
              <w:rPr>
                <w:rFonts w:eastAsia="Batang"/>
                <w:iCs/>
                <w:color w:val="000000"/>
                <w:kern w:val="2"/>
                <w:sz w:val="22"/>
                <w:szCs w:val="22"/>
              </w:rPr>
              <w:t>Agreements (RAN1 #97):</w:t>
            </w:r>
            <w:r w:rsidRPr="00EE09CD">
              <w:rPr>
                <w:rFonts w:eastAsia="Batang"/>
                <w:iCs/>
                <w:color w:val="000000"/>
                <w:kern w:val="2"/>
                <w:sz w:val="22"/>
                <w:szCs w:val="22"/>
              </w:rPr>
              <w:br/>
              <w:t>When UE is indicated of the minimum applicable value of K0 (K2) for an active DL (UL) BWP, the application method to the selection of a DL (UL) TDRA entry is to be decided from:</w:t>
            </w:r>
            <w:r w:rsidRPr="00EE09CD">
              <w:rPr>
                <w:rFonts w:eastAsia="Batang"/>
                <w:iCs/>
                <w:color w:val="000000"/>
                <w:kern w:val="2"/>
                <w:sz w:val="22"/>
                <w:szCs w:val="22"/>
              </w:rPr>
              <w:br/>
              <w:t>● An entry in the active DL (UL) TDRA table with K0 (K2) value smaller than the indicated minimum is not expected by or not valid for the UE for the TDRA indication(s)</w:t>
            </w:r>
          </w:p>
        </w:tc>
      </w:tr>
    </w:tbl>
    <w:p w14:paraId="02C49CA3" w14:textId="77777777" w:rsidR="00771FC7" w:rsidRPr="00EE09CD" w:rsidRDefault="00771FC7" w:rsidP="0094241B">
      <w:pPr>
        <w:tabs>
          <w:tab w:val="left" w:pos="640"/>
        </w:tabs>
        <w:jc w:val="both"/>
        <w:rPr>
          <w:rFonts w:eastAsia="Batang"/>
          <w:iCs/>
          <w:color w:val="000000"/>
          <w:kern w:val="2"/>
          <w:sz w:val="22"/>
          <w:szCs w:val="22"/>
        </w:rPr>
      </w:pPr>
    </w:p>
    <w:p w14:paraId="17A49D2F" w14:textId="5F013E83" w:rsidR="00771FC7" w:rsidRPr="00EE09CD" w:rsidRDefault="00771FC7" w:rsidP="0094241B">
      <w:pPr>
        <w:tabs>
          <w:tab w:val="left" w:pos="640"/>
        </w:tabs>
        <w:jc w:val="both"/>
        <w:rPr>
          <w:rFonts w:eastAsia="Batang"/>
          <w:iCs/>
          <w:color w:val="000000"/>
          <w:kern w:val="2"/>
          <w:sz w:val="22"/>
          <w:szCs w:val="22"/>
        </w:rPr>
      </w:pPr>
      <w:r w:rsidRPr="00EE09CD">
        <w:rPr>
          <w:rFonts w:eastAsia="Batang"/>
          <w:iCs/>
          <w:color w:val="000000"/>
          <w:kern w:val="2"/>
          <w:sz w:val="22"/>
          <w:szCs w:val="22"/>
        </w:rPr>
        <w:t>As discussed</w:t>
      </w:r>
      <w:r w:rsidR="00A51146" w:rsidRPr="00EE09CD">
        <w:rPr>
          <w:rFonts w:eastAsia="Batang"/>
          <w:iCs/>
          <w:color w:val="000000"/>
          <w:kern w:val="2"/>
          <w:sz w:val="22"/>
          <w:szCs w:val="22"/>
        </w:rPr>
        <w:t xml:space="preserve"> </w:t>
      </w:r>
      <w:r w:rsidRPr="00EE09CD">
        <w:rPr>
          <w:rFonts w:eastAsia="Batang"/>
          <w:iCs/>
          <w:color w:val="000000"/>
          <w:kern w:val="2"/>
          <w:sz w:val="22"/>
          <w:szCs w:val="22"/>
        </w:rPr>
        <w:t xml:space="preserve">in </w:t>
      </w:r>
      <w:r w:rsidR="00A51146" w:rsidRPr="00EE09CD">
        <w:rPr>
          <w:rFonts w:eastAsia="Batang"/>
          <w:iCs/>
          <w:color w:val="000000"/>
          <w:kern w:val="2"/>
          <w:sz w:val="22"/>
          <w:szCs w:val="22"/>
        </w:rPr>
        <w:fldChar w:fldCharType="begin"/>
      </w:r>
      <w:r w:rsidR="00A51146" w:rsidRPr="00EE09CD">
        <w:rPr>
          <w:rFonts w:eastAsia="Batang"/>
          <w:iCs/>
          <w:color w:val="000000"/>
          <w:kern w:val="2"/>
          <w:sz w:val="22"/>
          <w:szCs w:val="22"/>
        </w:rPr>
        <w:instrText xml:space="preserve"> REF _Ref37387310 \r \h </w:instrText>
      </w:r>
      <w:r w:rsidR="00EE09CD">
        <w:rPr>
          <w:rFonts w:eastAsia="Batang"/>
          <w:iCs/>
          <w:color w:val="000000"/>
          <w:kern w:val="2"/>
          <w:sz w:val="22"/>
          <w:szCs w:val="22"/>
        </w:rPr>
        <w:instrText xml:space="preserve"> \* MERGEFORMAT </w:instrText>
      </w:r>
      <w:r w:rsidR="00A51146" w:rsidRPr="00EE09CD">
        <w:rPr>
          <w:rFonts w:eastAsia="Batang"/>
          <w:iCs/>
          <w:color w:val="000000"/>
          <w:kern w:val="2"/>
          <w:sz w:val="22"/>
          <w:szCs w:val="22"/>
        </w:rPr>
      </w:r>
      <w:r w:rsidR="00A51146" w:rsidRPr="00EE09CD">
        <w:rPr>
          <w:rFonts w:eastAsia="Batang"/>
          <w:iCs/>
          <w:color w:val="000000"/>
          <w:kern w:val="2"/>
          <w:sz w:val="22"/>
          <w:szCs w:val="22"/>
        </w:rPr>
        <w:fldChar w:fldCharType="separate"/>
      </w:r>
      <w:r w:rsidR="005E10D6">
        <w:rPr>
          <w:rFonts w:eastAsia="Batang"/>
          <w:iCs/>
          <w:color w:val="000000"/>
          <w:kern w:val="2"/>
          <w:sz w:val="22"/>
          <w:szCs w:val="22"/>
        </w:rPr>
        <w:t>[1]</w:t>
      </w:r>
      <w:r w:rsidR="00A51146" w:rsidRPr="00EE09CD">
        <w:rPr>
          <w:rFonts w:eastAsia="Batang"/>
          <w:iCs/>
          <w:color w:val="000000"/>
          <w:kern w:val="2"/>
          <w:sz w:val="22"/>
          <w:szCs w:val="22"/>
        </w:rPr>
        <w:fldChar w:fldCharType="end"/>
      </w:r>
      <w:r w:rsidR="00A51146" w:rsidRPr="00EE09CD">
        <w:rPr>
          <w:rFonts w:eastAsia="Batang"/>
          <w:iCs/>
          <w:color w:val="000000"/>
          <w:kern w:val="2"/>
          <w:sz w:val="22"/>
          <w:szCs w:val="22"/>
        </w:rPr>
        <w:t>,</w:t>
      </w:r>
      <w:r w:rsidRPr="00EE09CD">
        <w:rPr>
          <w:rFonts w:eastAsia="Batang"/>
          <w:iCs/>
          <w:color w:val="000000"/>
          <w:kern w:val="2"/>
          <w:sz w:val="22"/>
          <w:szCs w:val="22"/>
        </w:rPr>
        <w:t xml:space="preserve"> if current active minimum scheduling offset restriction cannot be fulfilled in the case of cross-BWP scheduling, the UE would not know if the scheduling DCI is same-BWP scheduling or cross-BWP scheduling before it finishes the decoding. Therefore, UE processing timeline can only follow the worst case which will be cross-BWP scheduling case when </w:t>
      </w:r>
      <w:r w:rsidR="0094241B">
        <w:rPr>
          <w:rFonts w:eastAsia="Batang"/>
          <w:iCs/>
          <w:color w:val="000000"/>
          <w:kern w:val="2"/>
          <w:sz w:val="22"/>
          <w:szCs w:val="22"/>
        </w:rPr>
        <w:t xml:space="preserve">the </w:t>
      </w:r>
      <w:r w:rsidRPr="00EE09CD">
        <w:rPr>
          <w:rFonts w:eastAsia="Batang"/>
          <w:iCs/>
          <w:color w:val="000000"/>
          <w:kern w:val="2"/>
          <w:sz w:val="22"/>
          <w:szCs w:val="22"/>
        </w:rPr>
        <w:t xml:space="preserve">UE reported BWP switch delay is smaller than </w:t>
      </w:r>
      <w:r w:rsidR="0094241B">
        <w:rPr>
          <w:rFonts w:eastAsia="Batang"/>
          <w:iCs/>
          <w:color w:val="000000"/>
          <w:kern w:val="2"/>
          <w:sz w:val="22"/>
          <w:szCs w:val="22"/>
        </w:rPr>
        <w:t xml:space="preserve">the </w:t>
      </w:r>
      <w:r w:rsidRPr="00EE09CD">
        <w:rPr>
          <w:rFonts w:eastAsia="Batang"/>
          <w:iCs/>
          <w:color w:val="000000"/>
          <w:kern w:val="2"/>
          <w:sz w:val="22"/>
          <w:szCs w:val="22"/>
        </w:rPr>
        <w:t xml:space="preserve">currently active minimum scheduling offset restriction. This would reduce the power saving gains projected to be achieved by  cross-BWP scheduling. </w:t>
      </w:r>
    </w:p>
    <w:p w14:paraId="69CB4E59" w14:textId="3789AEA2" w:rsidR="00771FC7" w:rsidRPr="00EE09CD" w:rsidRDefault="00771FC7" w:rsidP="0094241B">
      <w:pPr>
        <w:tabs>
          <w:tab w:val="left" w:pos="640"/>
        </w:tabs>
        <w:jc w:val="both"/>
        <w:rPr>
          <w:rFonts w:eastAsia="Batang"/>
          <w:iCs/>
          <w:color w:val="000000"/>
          <w:kern w:val="2"/>
          <w:sz w:val="22"/>
          <w:szCs w:val="22"/>
        </w:rPr>
      </w:pPr>
    </w:p>
    <w:p w14:paraId="37FD51D2" w14:textId="313DDB9D" w:rsidR="00771FC7" w:rsidRPr="00EE09CD" w:rsidRDefault="00771FC7" w:rsidP="0094241B">
      <w:pPr>
        <w:tabs>
          <w:tab w:val="left" w:pos="640"/>
        </w:tabs>
        <w:jc w:val="both"/>
        <w:rPr>
          <w:rFonts w:eastAsia="Batang"/>
          <w:iCs/>
          <w:color w:val="000000"/>
          <w:kern w:val="2"/>
          <w:sz w:val="22"/>
          <w:szCs w:val="22"/>
        </w:rPr>
      </w:pPr>
      <w:r w:rsidRPr="00EE09CD">
        <w:rPr>
          <w:rFonts w:eastAsia="Batang"/>
          <w:iCs/>
          <w:color w:val="000000"/>
          <w:kern w:val="2"/>
          <w:sz w:val="22"/>
          <w:szCs w:val="22"/>
        </w:rPr>
        <w:t xml:space="preserve">To allow for predictability on K0/K2 in the target BWP, the values of K0min/K2min in the target BWP should initially be derived from those of the source BWP and a </w:t>
      </w:r>
      <w:r w:rsidRPr="00EE09CD">
        <w:rPr>
          <w:color w:val="1F497D"/>
          <w:sz w:val="22"/>
          <w:szCs w:val="22"/>
        </w:rPr>
        <w:t xml:space="preserve"> </w:t>
      </w:r>
      <w:r w:rsidR="0094241B">
        <w:rPr>
          <w:rFonts w:eastAsia="Batang"/>
          <w:iCs/>
          <w:color w:val="000000"/>
          <w:kern w:val="2"/>
          <w:sz w:val="22"/>
          <w:szCs w:val="22"/>
        </w:rPr>
        <w:t xml:space="preserve">it should be </w:t>
      </w:r>
      <w:r w:rsidRPr="00EE09CD">
        <w:rPr>
          <w:rFonts w:eastAsia="Batang"/>
          <w:iCs/>
          <w:color w:val="000000"/>
          <w:kern w:val="2"/>
          <w:sz w:val="22"/>
          <w:szCs w:val="22"/>
        </w:rPr>
        <w:t xml:space="preserve"> clarif</w:t>
      </w:r>
      <w:r w:rsidR="0094241B">
        <w:rPr>
          <w:rFonts w:eastAsia="Batang"/>
          <w:iCs/>
          <w:color w:val="000000"/>
          <w:kern w:val="2"/>
          <w:sz w:val="22"/>
          <w:szCs w:val="22"/>
        </w:rPr>
        <w:t>ied</w:t>
      </w:r>
      <w:r w:rsidRPr="00EE09CD">
        <w:rPr>
          <w:rFonts w:eastAsia="Batang"/>
          <w:iCs/>
          <w:color w:val="000000"/>
          <w:kern w:val="2"/>
          <w:sz w:val="22"/>
          <w:szCs w:val="22"/>
        </w:rPr>
        <w:t xml:space="preserve"> how K0min/K2min of source BWP is applied to target BWP of cross-BWP scheduling.</w:t>
      </w:r>
    </w:p>
    <w:p w14:paraId="6B4A2E29" w14:textId="2B02F5E0" w:rsidR="00771FC7" w:rsidRPr="00EE09CD" w:rsidRDefault="00771FC7" w:rsidP="0094241B">
      <w:pPr>
        <w:tabs>
          <w:tab w:val="left" w:pos="640"/>
        </w:tabs>
        <w:jc w:val="both"/>
        <w:rPr>
          <w:rFonts w:eastAsia="Batang"/>
          <w:iCs/>
          <w:color w:val="000000"/>
          <w:kern w:val="2"/>
          <w:sz w:val="22"/>
          <w:szCs w:val="22"/>
        </w:rPr>
      </w:pPr>
    </w:p>
    <w:p w14:paraId="2B9F5CB5" w14:textId="1BB4466D" w:rsidR="00771FC7" w:rsidRPr="00EE09CD" w:rsidRDefault="00771FC7" w:rsidP="0094241B">
      <w:pPr>
        <w:tabs>
          <w:tab w:val="left" w:pos="640"/>
        </w:tabs>
        <w:jc w:val="both"/>
        <w:rPr>
          <w:rFonts w:eastAsia="Batang"/>
          <w:iCs/>
          <w:color w:val="000000"/>
          <w:kern w:val="2"/>
          <w:sz w:val="22"/>
          <w:szCs w:val="22"/>
        </w:rPr>
      </w:pPr>
    </w:p>
    <w:p w14:paraId="6DFE7FB0" w14:textId="083BF94F" w:rsidR="00771FC7" w:rsidRPr="00EE09CD" w:rsidRDefault="00771FC7" w:rsidP="0094241B">
      <w:pPr>
        <w:tabs>
          <w:tab w:val="left" w:pos="640"/>
        </w:tabs>
        <w:jc w:val="both"/>
        <w:rPr>
          <w:rFonts w:eastAsia="Batang"/>
          <w:i/>
          <w:color w:val="000000"/>
          <w:kern w:val="2"/>
          <w:sz w:val="22"/>
          <w:szCs w:val="22"/>
        </w:rPr>
      </w:pPr>
      <w:r w:rsidRPr="00EE09CD">
        <w:rPr>
          <w:rFonts w:eastAsia="Batang"/>
          <w:b/>
          <w:bCs/>
          <w:i/>
          <w:color w:val="000000"/>
          <w:kern w:val="2"/>
          <w:sz w:val="22"/>
          <w:szCs w:val="22"/>
        </w:rPr>
        <w:t>Proposal 1:</w:t>
      </w:r>
      <w:r w:rsidRPr="00EE09CD">
        <w:rPr>
          <w:rFonts w:eastAsia="Batang"/>
          <w:i/>
          <w:color w:val="000000"/>
          <w:kern w:val="2"/>
          <w:sz w:val="22"/>
          <w:szCs w:val="22"/>
        </w:rPr>
        <w:t xml:space="preserve"> </w:t>
      </w:r>
      <w:r w:rsidR="0094241B">
        <w:rPr>
          <w:rFonts w:eastAsia="Batang"/>
          <w:i/>
          <w:color w:val="000000"/>
          <w:kern w:val="2"/>
          <w:sz w:val="22"/>
          <w:szCs w:val="22"/>
        </w:rPr>
        <w:t>C</w:t>
      </w:r>
      <w:r w:rsidRPr="00EE09CD">
        <w:rPr>
          <w:rFonts w:eastAsia="Batang"/>
          <w:i/>
          <w:color w:val="000000"/>
          <w:kern w:val="2"/>
          <w:sz w:val="22"/>
          <w:szCs w:val="22"/>
        </w:rPr>
        <w:t>larify how K0min/K2min of source BWP is applied to target BWP of cross-BWP scheduling</w:t>
      </w:r>
    </w:p>
    <w:p w14:paraId="2609C929" w14:textId="6076E2EA" w:rsidR="00771FC7" w:rsidRPr="00EE09CD" w:rsidRDefault="00771FC7" w:rsidP="0094241B">
      <w:pPr>
        <w:jc w:val="both"/>
        <w:rPr>
          <w:rFonts w:eastAsia="Batang"/>
          <w:iCs/>
          <w:color w:val="000000"/>
          <w:kern w:val="2"/>
          <w:sz w:val="22"/>
          <w:szCs w:val="22"/>
        </w:rPr>
      </w:pPr>
    </w:p>
    <w:p w14:paraId="52014BF2" w14:textId="6EBBC6BC" w:rsidR="00771FC7" w:rsidRPr="00EE09CD" w:rsidRDefault="00771FC7" w:rsidP="0094241B">
      <w:pPr>
        <w:jc w:val="both"/>
        <w:rPr>
          <w:rFonts w:eastAsia="Batang"/>
          <w:iCs/>
          <w:color w:val="000000"/>
          <w:kern w:val="2"/>
          <w:sz w:val="22"/>
          <w:szCs w:val="22"/>
        </w:rPr>
      </w:pPr>
      <w:r w:rsidRPr="00EE09CD">
        <w:rPr>
          <w:rFonts w:eastAsia="Batang"/>
          <w:iCs/>
          <w:color w:val="000000"/>
          <w:kern w:val="2"/>
          <w:sz w:val="22"/>
          <w:szCs w:val="22"/>
        </w:rPr>
        <w:lastRenderedPageBreak/>
        <w:t>The second issue was w</w:t>
      </w:r>
      <w:r w:rsidR="00EF39F5" w:rsidRPr="00EE09CD">
        <w:rPr>
          <w:rFonts w:eastAsia="Batang"/>
          <w:iCs/>
          <w:color w:val="000000"/>
          <w:kern w:val="2"/>
          <w:sz w:val="22"/>
          <w:szCs w:val="22"/>
        </w:rPr>
        <w:t>hether/how to decide the applied minimum scheduling offset restriction for the slots after BWP switch and before the application delay is ended.</w:t>
      </w:r>
      <w:r w:rsidRPr="00EE09CD">
        <w:rPr>
          <w:rFonts w:eastAsia="Batang"/>
          <w:iCs/>
          <w:color w:val="000000"/>
          <w:kern w:val="2"/>
          <w:sz w:val="22"/>
          <w:szCs w:val="22"/>
        </w:rPr>
        <w:t xml:space="preserve"> This is illustrated in </w:t>
      </w:r>
      <w:r w:rsidRPr="00EE09CD">
        <w:rPr>
          <w:rFonts w:eastAsia="Batang"/>
          <w:iCs/>
          <w:color w:val="000000"/>
          <w:kern w:val="2"/>
          <w:sz w:val="22"/>
          <w:szCs w:val="22"/>
        </w:rPr>
        <w:fldChar w:fldCharType="begin"/>
      </w:r>
      <w:r w:rsidRPr="00EE09CD">
        <w:rPr>
          <w:rFonts w:eastAsia="Batang"/>
          <w:iCs/>
          <w:color w:val="000000"/>
          <w:kern w:val="2"/>
          <w:sz w:val="22"/>
          <w:szCs w:val="22"/>
        </w:rPr>
        <w:instrText xml:space="preserve"> REF _Ref37350180 \h  \* MERGEFORMAT </w:instrText>
      </w:r>
      <w:r w:rsidRPr="00EE09CD">
        <w:rPr>
          <w:rFonts w:eastAsia="Batang"/>
          <w:iCs/>
          <w:color w:val="000000"/>
          <w:kern w:val="2"/>
          <w:sz w:val="22"/>
          <w:szCs w:val="22"/>
        </w:rPr>
      </w:r>
      <w:r w:rsidRPr="00EE09CD">
        <w:rPr>
          <w:rFonts w:eastAsia="Batang"/>
          <w:iCs/>
          <w:color w:val="000000"/>
          <w:kern w:val="2"/>
          <w:sz w:val="22"/>
          <w:szCs w:val="22"/>
        </w:rPr>
        <w:fldChar w:fldCharType="separate"/>
      </w:r>
      <w:r w:rsidR="005E10D6" w:rsidRPr="005E10D6">
        <w:rPr>
          <w:rFonts w:eastAsia="Batang"/>
          <w:iCs/>
          <w:color w:val="000000"/>
          <w:kern w:val="2"/>
          <w:sz w:val="22"/>
          <w:szCs w:val="22"/>
        </w:rPr>
        <w:t>Figure 1</w:t>
      </w:r>
      <w:r w:rsidRPr="00EE09CD">
        <w:rPr>
          <w:rFonts w:eastAsia="Batang"/>
          <w:iCs/>
          <w:color w:val="000000"/>
          <w:kern w:val="2"/>
          <w:sz w:val="22"/>
          <w:szCs w:val="22"/>
        </w:rPr>
        <w:fldChar w:fldCharType="end"/>
      </w:r>
      <w:r w:rsidRPr="00EE09CD">
        <w:rPr>
          <w:rFonts w:eastAsia="Batang"/>
          <w:iCs/>
          <w:color w:val="000000"/>
          <w:kern w:val="2"/>
          <w:sz w:val="22"/>
          <w:szCs w:val="22"/>
        </w:rPr>
        <w:t>.</w:t>
      </w:r>
    </w:p>
    <w:p w14:paraId="15A907A5" w14:textId="77777777" w:rsidR="00771FC7" w:rsidRPr="00EE09CD" w:rsidRDefault="00771FC7" w:rsidP="00EF39F5">
      <w:pPr>
        <w:rPr>
          <w:rFonts w:eastAsia="Batang"/>
          <w:iCs/>
          <w:color w:val="000000"/>
          <w:kern w:val="2"/>
          <w:sz w:val="22"/>
          <w:szCs w:val="22"/>
        </w:rPr>
      </w:pPr>
    </w:p>
    <w:p w14:paraId="0E6288E7" w14:textId="77777777" w:rsidR="00771FC7" w:rsidRDefault="00771FC7" w:rsidP="00EF39F5">
      <w:pPr>
        <w:rPr>
          <w:rFonts w:eastAsia="Batang"/>
          <w:iCs/>
          <w:color w:val="000000"/>
          <w:kern w:val="2"/>
          <w:sz w:val="20"/>
          <w:szCs w:val="20"/>
        </w:rPr>
      </w:pPr>
    </w:p>
    <w:p w14:paraId="363AD557" w14:textId="77777777" w:rsidR="00771FC7" w:rsidRDefault="00771FC7" w:rsidP="00771FC7">
      <w:pPr>
        <w:keepNext/>
      </w:pPr>
      <w:r w:rsidRPr="00EF39F5">
        <w:rPr>
          <w:rFonts w:eastAsia="Batang"/>
          <w:iCs/>
          <w:noProof/>
          <w:color w:val="000000"/>
          <w:kern w:val="2"/>
          <w:sz w:val="20"/>
          <w:szCs w:val="20"/>
        </w:rPr>
        <w:drawing>
          <wp:inline distT="0" distB="0" distL="0" distR="0" wp14:anchorId="6B6C1DD2" wp14:editId="2DC0ED1D">
            <wp:extent cx="5181600" cy="1168400"/>
            <wp:effectExtent l="0" t="0" r="0" b="0"/>
            <wp:docPr id="1" name="Picture 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181600" cy="1168400"/>
                    </a:xfrm>
                    <a:prstGeom prst="rect">
                      <a:avLst/>
                    </a:prstGeom>
                  </pic:spPr>
                </pic:pic>
              </a:graphicData>
            </a:graphic>
          </wp:inline>
        </w:drawing>
      </w:r>
    </w:p>
    <w:p w14:paraId="05618EFC" w14:textId="0CAFB756" w:rsidR="00771FC7" w:rsidRDefault="00771FC7" w:rsidP="00771FC7">
      <w:pPr>
        <w:pStyle w:val="Caption"/>
        <w:rPr>
          <w:rFonts w:eastAsia="Batang"/>
          <w:iCs/>
          <w:color w:val="000000"/>
          <w:kern w:val="2"/>
          <w:sz w:val="20"/>
          <w:szCs w:val="20"/>
        </w:rPr>
      </w:pPr>
      <w:bookmarkStart w:id="0" w:name="_Ref37350180"/>
      <w:r>
        <w:t xml:space="preserve">Figure </w:t>
      </w:r>
      <w:fldSimple w:instr=" SEQ Figure \* ARABIC ">
        <w:r w:rsidR="005E10D6">
          <w:rPr>
            <w:noProof/>
          </w:rPr>
          <w:t>1</w:t>
        </w:r>
      </w:fldSimple>
      <w:bookmarkEnd w:id="0"/>
      <w:r>
        <w:t>: What parameter to use before the Application delay is reached</w:t>
      </w:r>
    </w:p>
    <w:p w14:paraId="6671DFD1" w14:textId="77777777" w:rsidR="00771FC7" w:rsidRDefault="00771FC7" w:rsidP="00EF39F5">
      <w:pPr>
        <w:rPr>
          <w:rFonts w:eastAsia="Batang"/>
          <w:iCs/>
          <w:color w:val="000000"/>
          <w:kern w:val="2"/>
          <w:sz w:val="20"/>
          <w:szCs w:val="20"/>
        </w:rPr>
      </w:pPr>
    </w:p>
    <w:p w14:paraId="693576D7" w14:textId="38F94A0F" w:rsidR="00771FC7" w:rsidRPr="00EE09CD" w:rsidRDefault="00771FC7" w:rsidP="0094241B">
      <w:pPr>
        <w:jc w:val="both"/>
        <w:rPr>
          <w:rFonts w:eastAsia="Batang"/>
          <w:iCs/>
          <w:color w:val="000000"/>
          <w:kern w:val="2"/>
          <w:sz w:val="22"/>
          <w:szCs w:val="22"/>
        </w:rPr>
      </w:pPr>
      <w:r w:rsidRPr="00EE09CD">
        <w:rPr>
          <w:rFonts w:eastAsia="Batang"/>
          <w:iCs/>
          <w:color w:val="000000"/>
          <w:kern w:val="2"/>
          <w:sz w:val="22"/>
          <w:szCs w:val="22"/>
        </w:rPr>
        <w:t>Ideally, the applied minimum scheduling offset restriction for the slot(s) after active BWP change and before the application delay is ended  should be based on the source BWP so that the implementation can predict behavior and operate in power saving mode</w:t>
      </w:r>
      <w:r w:rsidR="0094241B">
        <w:rPr>
          <w:rFonts w:eastAsia="Batang"/>
          <w:iCs/>
          <w:color w:val="000000"/>
          <w:kern w:val="2"/>
          <w:sz w:val="22"/>
          <w:szCs w:val="22"/>
        </w:rPr>
        <w:t>. As such</w:t>
      </w:r>
      <w:r w:rsidRPr="00EE09CD">
        <w:rPr>
          <w:rFonts w:eastAsia="Batang"/>
          <w:iCs/>
          <w:color w:val="000000"/>
          <w:kern w:val="2"/>
          <w:sz w:val="22"/>
          <w:szCs w:val="22"/>
        </w:rPr>
        <w:t>, we propose that the target BWP use a scaled K0min/K2min from source BWP.</w:t>
      </w:r>
    </w:p>
    <w:p w14:paraId="0BA33FBC" w14:textId="10D0D85B" w:rsidR="00771FC7" w:rsidRPr="00EE09CD" w:rsidRDefault="00771FC7" w:rsidP="0094241B">
      <w:pPr>
        <w:jc w:val="both"/>
        <w:rPr>
          <w:rFonts w:eastAsia="Batang"/>
          <w:iCs/>
          <w:color w:val="000000"/>
          <w:kern w:val="2"/>
          <w:sz w:val="22"/>
          <w:szCs w:val="22"/>
        </w:rPr>
      </w:pPr>
    </w:p>
    <w:p w14:paraId="3708D25B" w14:textId="312F6170" w:rsidR="00771FC7" w:rsidRPr="00EE09CD" w:rsidRDefault="00771FC7" w:rsidP="0094241B">
      <w:pPr>
        <w:jc w:val="both"/>
        <w:rPr>
          <w:rFonts w:eastAsia="Batang"/>
          <w:i/>
          <w:color w:val="000000"/>
          <w:kern w:val="2"/>
          <w:sz w:val="22"/>
          <w:szCs w:val="22"/>
        </w:rPr>
      </w:pPr>
      <w:r w:rsidRPr="00EE09CD">
        <w:rPr>
          <w:rFonts w:eastAsia="Batang"/>
          <w:b/>
          <w:bCs/>
          <w:i/>
          <w:color w:val="000000"/>
          <w:kern w:val="2"/>
          <w:sz w:val="22"/>
          <w:szCs w:val="22"/>
        </w:rPr>
        <w:t>Proposal 2:</w:t>
      </w:r>
      <w:r w:rsidRPr="00EE09CD">
        <w:rPr>
          <w:rFonts w:eastAsia="Batang"/>
          <w:i/>
          <w:color w:val="000000"/>
          <w:kern w:val="2"/>
          <w:sz w:val="22"/>
          <w:szCs w:val="22"/>
        </w:rPr>
        <w:t xml:space="preserve"> </w:t>
      </w:r>
      <w:r w:rsidR="00A51146" w:rsidRPr="00EE09CD">
        <w:rPr>
          <w:rFonts w:eastAsia="Batang"/>
          <w:i/>
          <w:color w:val="000000"/>
          <w:kern w:val="2"/>
          <w:sz w:val="22"/>
          <w:szCs w:val="22"/>
        </w:rPr>
        <w:t>T</w:t>
      </w:r>
      <w:r w:rsidRPr="00EE09CD">
        <w:rPr>
          <w:rFonts w:eastAsia="Batang"/>
          <w:i/>
          <w:color w:val="000000"/>
          <w:kern w:val="2"/>
          <w:sz w:val="22"/>
          <w:szCs w:val="22"/>
        </w:rPr>
        <w:t>he target BWP should use a scaled K0min/K2min from source BWP for the slots after BWP switch and before the application delay is ended.</w:t>
      </w:r>
    </w:p>
    <w:p w14:paraId="1E7516B7" w14:textId="208D8643" w:rsidR="00824EBE" w:rsidRDefault="00824EBE" w:rsidP="0094241B">
      <w:pPr>
        <w:jc w:val="both"/>
        <w:rPr>
          <w:rFonts w:eastAsia="Batang"/>
          <w:i/>
          <w:color w:val="000000"/>
          <w:kern w:val="2"/>
          <w:sz w:val="20"/>
          <w:szCs w:val="20"/>
          <w:lang w:val="en-GB"/>
        </w:rPr>
      </w:pPr>
    </w:p>
    <w:p w14:paraId="5AF7F5BB" w14:textId="6CA59510" w:rsidR="00ED7653" w:rsidRDefault="00ED7653" w:rsidP="00032FD3">
      <w:pPr>
        <w:pStyle w:val="Heading1"/>
      </w:pPr>
      <w:r>
        <w:t>Conclusion</w:t>
      </w:r>
    </w:p>
    <w:p w14:paraId="2479DF4E" w14:textId="28A18922" w:rsidR="003105DC" w:rsidRPr="00EE09CD" w:rsidRDefault="002134C9" w:rsidP="0094241B">
      <w:pPr>
        <w:pStyle w:val="0Maintext"/>
        <w:spacing w:after="120" w:afterAutospacing="0" w:line="240" w:lineRule="auto"/>
        <w:ind w:firstLine="0"/>
        <w:rPr>
          <w:sz w:val="22"/>
          <w:szCs w:val="22"/>
          <w:lang w:val="en-US"/>
        </w:rPr>
      </w:pPr>
      <w:r w:rsidRPr="00EE09CD">
        <w:rPr>
          <w:sz w:val="22"/>
          <w:szCs w:val="22"/>
          <w:lang w:val="en-US"/>
        </w:rPr>
        <w:t xml:space="preserve">In this contribution, we discussed </w:t>
      </w:r>
      <w:r w:rsidR="00771FC7" w:rsidRPr="00EE09CD">
        <w:rPr>
          <w:sz w:val="22"/>
          <w:szCs w:val="22"/>
          <w:lang w:val="en-US"/>
        </w:rPr>
        <w:t xml:space="preserve">some open issues on </w:t>
      </w:r>
      <w:r w:rsidRPr="00EE09CD">
        <w:rPr>
          <w:sz w:val="22"/>
          <w:szCs w:val="22"/>
          <w:lang w:val="en-US"/>
        </w:rPr>
        <w:t xml:space="preserve"> </w:t>
      </w:r>
      <w:r w:rsidR="00C84FE2" w:rsidRPr="00EE09CD">
        <w:rPr>
          <w:sz w:val="22"/>
          <w:szCs w:val="22"/>
          <w:lang w:val="en-US"/>
        </w:rPr>
        <w:t xml:space="preserve">remaining issues </w:t>
      </w:r>
      <w:r w:rsidR="00771FC7" w:rsidRPr="00EE09CD">
        <w:rPr>
          <w:sz w:val="22"/>
          <w:szCs w:val="22"/>
          <w:lang w:val="en-US"/>
        </w:rPr>
        <w:t>on cross-BWP scheduling</w:t>
      </w:r>
      <w:r w:rsidR="00BB761F" w:rsidRPr="00EE09CD">
        <w:rPr>
          <w:sz w:val="22"/>
          <w:szCs w:val="22"/>
          <w:lang w:val="en-US"/>
        </w:rPr>
        <w:t xml:space="preserve"> in R16 </w:t>
      </w:r>
      <w:r w:rsidR="00771FC7" w:rsidRPr="00EE09CD">
        <w:rPr>
          <w:sz w:val="22"/>
          <w:szCs w:val="22"/>
          <w:lang w:val="en-US"/>
        </w:rPr>
        <w:t>Power Saving</w:t>
      </w:r>
      <w:r w:rsidRPr="00EE09CD">
        <w:rPr>
          <w:sz w:val="22"/>
          <w:szCs w:val="22"/>
          <w:lang w:val="en-US"/>
        </w:rPr>
        <w:t xml:space="preserve">. Based on the discussion, the following proposals have been </w:t>
      </w:r>
      <w:r w:rsidR="009D1C4F" w:rsidRPr="00EE09CD">
        <w:rPr>
          <w:sz w:val="22"/>
          <w:szCs w:val="22"/>
          <w:lang w:val="en-US"/>
        </w:rPr>
        <w:t>made</w:t>
      </w:r>
      <w:r w:rsidRPr="00EE09CD">
        <w:rPr>
          <w:sz w:val="22"/>
          <w:szCs w:val="22"/>
          <w:lang w:val="en-US"/>
        </w:rPr>
        <w:t>:</w:t>
      </w:r>
    </w:p>
    <w:p w14:paraId="42F6D381" w14:textId="33E01F0F" w:rsidR="00771FC7" w:rsidRPr="00EE09CD" w:rsidRDefault="00771FC7" w:rsidP="0094241B">
      <w:pPr>
        <w:tabs>
          <w:tab w:val="left" w:pos="640"/>
        </w:tabs>
        <w:jc w:val="both"/>
        <w:rPr>
          <w:rFonts w:eastAsia="Batang"/>
          <w:i/>
          <w:color w:val="000000"/>
          <w:kern w:val="2"/>
          <w:sz w:val="22"/>
          <w:szCs w:val="22"/>
        </w:rPr>
      </w:pPr>
      <w:r w:rsidRPr="00EE09CD">
        <w:rPr>
          <w:rFonts w:eastAsia="Batang"/>
          <w:b/>
          <w:bCs/>
          <w:i/>
          <w:color w:val="000000"/>
          <w:kern w:val="2"/>
          <w:sz w:val="22"/>
          <w:szCs w:val="22"/>
        </w:rPr>
        <w:t>Proposal 1:</w:t>
      </w:r>
      <w:r w:rsidRPr="00EE09CD">
        <w:rPr>
          <w:rFonts w:eastAsia="Batang"/>
          <w:i/>
          <w:color w:val="000000"/>
          <w:kern w:val="2"/>
          <w:sz w:val="22"/>
          <w:szCs w:val="22"/>
        </w:rPr>
        <w:t xml:space="preserve"> </w:t>
      </w:r>
      <w:r w:rsidR="0094241B">
        <w:rPr>
          <w:rFonts w:eastAsia="Batang"/>
          <w:i/>
          <w:color w:val="000000"/>
          <w:kern w:val="2"/>
          <w:sz w:val="22"/>
          <w:szCs w:val="22"/>
        </w:rPr>
        <w:t>C</w:t>
      </w:r>
      <w:r w:rsidRPr="00EE09CD">
        <w:rPr>
          <w:rFonts w:eastAsia="Batang"/>
          <w:i/>
          <w:color w:val="000000"/>
          <w:kern w:val="2"/>
          <w:sz w:val="22"/>
          <w:szCs w:val="22"/>
        </w:rPr>
        <w:t>larify how K0min/K2min of source BWP is applied to target BWP of cross-BWP scheduling</w:t>
      </w:r>
    </w:p>
    <w:p w14:paraId="3CA3B995" w14:textId="77777777" w:rsidR="00771FC7" w:rsidRPr="00EE09CD" w:rsidRDefault="00771FC7" w:rsidP="0094241B">
      <w:pPr>
        <w:jc w:val="both"/>
        <w:rPr>
          <w:rFonts w:eastAsia="Batang"/>
          <w:b/>
          <w:bCs/>
          <w:i/>
          <w:color w:val="000000"/>
          <w:kern w:val="2"/>
          <w:sz w:val="22"/>
          <w:szCs w:val="22"/>
        </w:rPr>
      </w:pPr>
    </w:p>
    <w:p w14:paraId="0A8CBE55" w14:textId="4FF502F8" w:rsidR="00771FC7" w:rsidRPr="00EE09CD" w:rsidRDefault="00771FC7" w:rsidP="0094241B">
      <w:pPr>
        <w:jc w:val="both"/>
        <w:rPr>
          <w:rFonts w:eastAsia="Batang"/>
          <w:i/>
          <w:color w:val="000000"/>
          <w:kern w:val="2"/>
          <w:sz w:val="22"/>
          <w:szCs w:val="22"/>
        </w:rPr>
      </w:pPr>
      <w:r w:rsidRPr="00EE09CD">
        <w:rPr>
          <w:rFonts w:eastAsia="Batang"/>
          <w:b/>
          <w:bCs/>
          <w:i/>
          <w:color w:val="000000"/>
          <w:kern w:val="2"/>
          <w:sz w:val="22"/>
          <w:szCs w:val="22"/>
        </w:rPr>
        <w:t>Proposal 2:</w:t>
      </w:r>
      <w:r w:rsidRPr="00EE09CD">
        <w:rPr>
          <w:rFonts w:eastAsia="Batang"/>
          <w:i/>
          <w:color w:val="000000"/>
          <w:kern w:val="2"/>
          <w:sz w:val="22"/>
          <w:szCs w:val="22"/>
        </w:rPr>
        <w:t xml:space="preserve"> </w:t>
      </w:r>
      <w:r w:rsidR="00A51146" w:rsidRPr="00EE09CD">
        <w:rPr>
          <w:rFonts w:eastAsia="Batang"/>
          <w:i/>
          <w:color w:val="000000"/>
          <w:kern w:val="2"/>
          <w:sz w:val="22"/>
          <w:szCs w:val="22"/>
        </w:rPr>
        <w:t>T</w:t>
      </w:r>
      <w:r w:rsidRPr="00EE09CD">
        <w:rPr>
          <w:rFonts w:eastAsia="Batang"/>
          <w:i/>
          <w:color w:val="000000"/>
          <w:kern w:val="2"/>
          <w:sz w:val="22"/>
          <w:szCs w:val="22"/>
        </w:rPr>
        <w:t>he target BWP should use a scaled K0min/K2min from source BWP for the slots after BWP switch and before the application delay is ended.</w:t>
      </w:r>
    </w:p>
    <w:p w14:paraId="2A5BA4DC" w14:textId="6DB80A0A" w:rsidR="002134C9" w:rsidRDefault="002134C9" w:rsidP="002134C9">
      <w:pPr>
        <w:pStyle w:val="Heading1"/>
      </w:pPr>
      <w:r>
        <w:t>Reference</w:t>
      </w:r>
    </w:p>
    <w:p w14:paraId="544395DD" w14:textId="6ACA90B8" w:rsidR="00F8700C" w:rsidRPr="00A51146" w:rsidRDefault="00702BAF" w:rsidP="00771FC7">
      <w:pPr>
        <w:numPr>
          <w:ilvl w:val="0"/>
          <w:numId w:val="22"/>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1" w:name="_Ref31979195"/>
      <w:bookmarkStart w:id="2" w:name="_Ref37387310"/>
      <w:r w:rsidRPr="00702BAF">
        <w:rPr>
          <w:sz w:val="22"/>
          <w:szCs w:val="22"/>
        </w:rPr>
        <w:t>R</w:t>
      </w:r>
      <w:bookmarkEnd w:id="1"/>
      <w:r w:rsidR="00771FC7">
        <w:rPr>
          <w:sz w:val="22"/>
          <w:szCs w:val="22"/>
        </w:rPr>
        <w:t xml:space="preserve">1-2001201, </w:t>
      </w:r>
      <w:r w:rsidR="00771FC7" w:rsidRPr="00771FC7">
        <w:rPr>
          <w:sz w:val="22"/>
          <w:szCs w:val="22"/>
        </w:rPr>
        <w:t>Summary#2 for Cross-Slot Scheduling Power Saving Techniques</w:t>
      </w:r>
      <w:r w:rsidR="00771FC7">
        <w:rPr>
          <w:sz w:val="22"/>
          <w:szCs w:val="22"/>
        </w:rPr>
        <w:t>, RAN1 #100-e, February 2020</w:t>
      </w:r>
      <w:bookmarkEnd w:id="2"/>
    </w:p>
    <w:p w14:paraId="781ECEE3" w14:textId="64284A12" w:rsidR="00A51146" w:rsidRPr="001C3C97" w:rsidRDefault="00A51146" w:rsidP="00771FC7">
      <w:pPr>
        <w:numPr>
          <w:ilvl w:val="0"/>
          <w:numId w:val="22"/>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3" w:name="_Ref37387340"/>
      <w:r>
        <w:rPr>
          <w:sz w:val="22"/>
          <w:szCs w:val="22"/>
        </w:rPr>
        <w:t>Chairman’s Notes, RAN1 #97</w:t>
      </w:r>
      <w:bookmarkEnd w:id="3"/>
    </w:p>
    <w:p w14:paraId="5A10E88B" w14:textId="6E7BC659" w:rsidR="002134C9" w:rsidRDefault="002134C9" w:rsidP="002134C9">
      <w:pPr>
        <w:pStyle w:val="0Maintext"/>
        <w:spacing w:after="120" w:afterAutospacing="0" w:line="240" w:lineRule="auto"/>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Times">
    <w:panose1 w:val="00000500000000020000"/>
    <w:charset w:val="00"/>
    <w:family w:val="auto"/>
    <w:pitch w:val="variable"/>
    <w:sig w:usb0="E0002EFF" w:usb1="D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0EE27A9"/>
    <w:multiLevelType w:val="hybridMultilevel"/>
    <w:tmpl w:val="4F84FC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B22C3F"/>
    <w:multiLevelType w:val="hybridMultilevel"/>
    <w:tmpl w:val="4BC2E1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7"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E06B77"/>
    <w:multiLevelType w:val="hybridMultilevel"/>
    <w:tmpl w:val="ED80C8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FE5879"/>
    <w:multiLevelType w:val="hybridMultilevel"/>
    <w:tmpl w:val="C8168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A04B14"/>
    <w:multiLevelType w:val="hybridMultilevel"/>
    <w:tmpl w:val="34C01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497815"/>
    <w:multiLevelType w:val="hybridMultilevel"/>
    <w:tmpl w:val="1E447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67511"/>
    <w:multiLevelType w:val="hybridMultilevel"/>
    <w:tmpl w:val="C1B25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387FA3"/>
    <w:multiLevelType w:val="hybridMultilevel"/>
    <w:tmpl w:val="CCCA1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E54971"/>
    <w:multiLevelType w:val="hybridMultilevel"/>
    <w:tmpl w:val="67F2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8D80F50">
      <w:numFmt w:val="bullet"/>
      <w:lvlText w:val="-"/>
      <w:lvlJc w:val="left"/>
      <w:pPr>
        <w:ind w:left="2880" w:hanging="360"/>
      </w:pPr>
      <w:rPr>
        <w:rFonts w:ascii="Calibri" w:eastAsia="Gulim" w:hAnsi="Calibri"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3E57960"/>
    <w:multiLevelType w:val="hybridMultilevel"/>
    <w:tmpl w:val="ECC85642"/>
    <w:lvl w:ilvl="0" w:tplc="FFFFFFFF">
      <w:start w:val="1"/>
      <w:numFmt w:val="bullet"/>
      <w:lvlText w:val=""/>
      <w:lvlJc w:val="left"/>
      <w:pPr>
        <w:ind w:left="-780" w:hanging="420"/>
      </w:pPr>
      <w:rPr>
        <w:rFonts w:ascii="Symbol" w:hAnsi="Symbol" w:hint="default"/>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tentative="1">
      <w:start w:val="1"/>
      <w:numFmt w:val="bullet"/>
      <w:lvlText w:val=""/>
      <w:lvlJc w:val="left"/>
      <w:pPr>
        <w:ind w:left="480" w:hanging="420"/>
      </w:pPr>
      <w:rPr>
        <w:rFonts w:ascii="Wingdings" w:hAnsi="Wingdings" w:hint="default"/>
      </w:rPr>
    </w:lvl>
    <w:lvl w:ilvl="4" w:tplc="04090003" w:tentative="1">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abstractNum w:abstractNumId="22"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7B4712F8"/>
    <w:multiLevelType w:val="hybridMultilevel"/>
    <w:tmpl w:val="F2565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23"/>
  </w:num>
  <w:num w:numId="4">
    <w:abstractNumId w:val="16"/>
  </w:num>
  <w:num w:numId="5">
    <w:abstractNumId w:val="19"/>
  </w:num>
  <w:num w:numId="6">
    <w:abstractNumId w:val="10"/>
  </w:num>
  <w:num w:numId="7">
    <w:abstractNumId w:val="17"/>
  </w:num>
  <w:num w:numId="8">
    <w:abstractNumId w:val="3"/>
  </w:num>
  <w:num w:numId="9">
    <w:abstractNumId w:val="18"/>
  </w:num>
  <w:num w:numId="10">
    <w:abstractNumId w:val="7"/>
  </w:num>
  <w:num w:numId="11">
    <w:abstractNumId w:val="14"/>
  </w:num>
  <w:num w:numId="12">
    <w:abstractNumId w:val="5"/>
  </w:num>
  <w:num w:numId="13">
    <w:abstractNumId w:val="8"/>
  </w:num>
  <w:num w:numId="14">
    <w:abstractNumId w:val="13"/>
  </w:num>
  <w:num w:numId="15">
    <w:abstractNumId w:val="9"/>
  </w:num>
  <w:num w:numId="16">
    <w:abstractNumId w:val="6"/>
  </w:num>
  <w:num w:numId="17">
    <w:abstractNumId w:val="22"/>
  </w:num>
  <w:num w:numId="18">
    <w:abstractNumId w:val="21"/>
  </w:num>
  <w:num w:numId="19">
    <w:abstractNumId w:val="12"/>
  </w:num>
  <w:num w:numId="20">
    <w:abstractNumId w:val="15"/>
  </w:num>
  <w:num w:numId="21">
    <w:abstractNumId w:val="11"/>
  </w:num>
  <w:num w:numId="22">
    <w:abstractNumId w:val="1"/>
  </w:num>
  <w:num w:numId="23">
    <w:abstractNumId w:val="4"/>
  </w:num>
  <w:num w:numId="24">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4"/>
  <w:removePersonalInformation/>
  <w:removeDateAndTime/>
  <w:doNotDisplayPageBoundaries/>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5D7F"/>
    <w:rsid w:val="00007041"/>
    <w:rsid w:val="000212EC"/>
    <w:rsid w:val="00024CD4"/>
    <w:rsid w:val="00026645"/>
    <w:rsid w:val="00031E68"/>
    <w:rsid w:val="00032FD3"/>
    <w:rsid w:val="00033D5B"/>
    <w:rsid w:val="00041988"/>
    <w:rsid w:val="00044CC2"/>
    <w:rsid w:val="00044EAE"/>
    <w:rsid w:val="0005612B"/>
    <w:rsid w:val="000605BB"/>
    <w:rsid w:val="00073136"/>
    <w:rsid w:val="000A1890"/>
    <w:rsid w:val="000A2AAA"/>
    <w:rsid w:val="000B0FBC"/>
    <w:rsid w:val="000C3D00"/>
    <w:rsid w:val="000C62A2"/>
    <w:rsid w:val="000D1A8F"/>
    <w:rsid w:val="000F2C70"/>
    <w:rsid w:val="001144DC"/>
    <w:rsid w:val="00127219"/>
    <w:rsid w:val="00140849"/>
    <w:rsid w:val="001454B7"/>
    <w:rsid w:val="00153773"/>
    <w:rsid w:val="001779C8"/>
    <w:rsid w:val="0018607A"/>
    <w:rsid w:val="00194352"/>
    <w:rsid w:val="00194BBD"/>
    <w:rsid w:val="001B2AEE"/>
    <w:rsid w:val="001C3C97"/>
    <w:rsid w:val="001D5CE5"/>
    <w:rsid w:val="001D749D"/>
    <w:rsid w:val="00202DFB"/>
    <w:rsid w:val="002134C9"/>
    <w:rsid w:val="00222276"/>
    <w:rsid w:val="00252B41"/>
    <w:rsid w:val="002562FA"/>
    <w:rsid w:val="00266E0F"/>
    <w:rsid w:val="002738F9"/>
    <w:rsid w:val="00274F27"/>
    <w:rsid w:val="00276E66"/>
    <w:rsid w:val="00284AB0"/>
    <w:rsid w:val="00285B13"/>
    <w:rsid w:val="002948FF"/>
    <w:rsid w:val="002972B7"/>
    <w:rsid w:val="002A274D"/>
    <w:rsid w:val="002A5B21"/>
    <w:rsid w:val="002B162B"/>
    <w:rsid w:val="002B2343"/>
    <w:rsid w:val="002B5FC9"/>
    <w:rsid w:val="002B72F3"/>
    <w:rsid w:val="002C4EFD"/>
    <w:rsid w:val="002C57AC"/>
    <w:rsid w:val="002E003F"/>
    <w:rsid w:val="002E7927"/>
    <w:rsid w:val="003105DC"/>
    <w:rsid w:val="00313BC4"/>
    <w:rsid w:val="00337A40"/>
    <w:rsid w:val="0034266A"/>
    <w:rsid w:val="0034417B"/>
    <w:rsid w:val="0035494F"/>
    <w:rsid w:val="00356A2B"/>
    <w:rsid w:val="00360564"/>
    <w:rsid w:val="00366F52"/>
    <w:rsid w:val="00386476"/>
    <w:rsid w:val="003C4E3C"/>
    <w:rsid w:val="003D3FBA"/>
    <w:rsid w:val="003E3570"/>
    <w:rsid w:val="003E75B6"/>
    <w:rsid w:val="003F670D"/>
    <w:rsid w:val="0040315C"/>
    <w:rsid w:val="00406FB8"/>
    <w:rsid w:val="00412A3F"/>
    <w:rsid w:val="00417FC9"/>
    <w:rsid w:val="00430AB1"/>
    <w:rsid w:val="00431CD3"/>
    <w:rsid w:val="0043338E"/>
    <w:rsid w:val="00446818"/>
    <w:rsid w:val="00461B15"/>
    <w:rsid w:val="00462395"/>
    <w:rsid w:val="00475C2B"/>
    <w:rsid w:val="00482475"/>
    <w:rsid w:val="00496D0C"/>
    <w:rsid w:val="004A41EF"/>
    <w:rsid w:val="004B2C35"/>
    <w:rsid w:val="004B3124"/>
    <w:rsid w:val="004B74CC"/>
    <w:rsid w:val="00505C90"/>
    <w:rsid w:val="005150C5"/>
    <w:rsid w:val="00517ADD"/>
    <w:rsid w:val="00530AB8"/>
    <w:rsid w:val="005363A1"/>
    <w:rsid w:val="0053782C"/>
    <w:rsid w:val="00550F71"/>
    <w:rsid w:val="00555942"/>
    <w:rsid w:val="00556671"/>
    <w:rsid w:val="005811A6"/>
    <w:rsid w:val="005954E4"/>
    <w:rsid w:val="005B1AD1"/>
    <w:rsid w:val="005B6997"/>
    <w:rsid w:val="005D45F7"/>
    <w:rsid w:val="005D57A7"/>
    <w:rsid w:val="005E10D6"/>
    <w:rsid w:val="005F5A01"/>
    <w:rsid w:val="005F7A0E"/>
    <w:rsid w:val="006134C7"/>
    <w:rsid w:val="00616BA2"/>
    <w:rsid w:val="0061765C"/>
    <w:rsid w:val="00626534"/>
    <w:rsid w:val="00631A14"/>
    <w:rsid w:val="00635837"/>
    <w:rsid w:val="00636D7B"/>
    <w:rsid w:val="006531B1"/>
    <w:rsid w:val="00661178"/>
    <w:rsid w:val="006765F4"/>
    <w:rsid w:val="00687ACA"/>
    <w:rsid w:val="006A45D6"/>
    <w:rsid w:val="006D54CF"/>
    <w:rsid w:val="006F0EC9"/>
    <w:rsid w:val="007003F1"/>
    <w:rsid w:val="00702BAF"/>
    <w:rsid w:val="00704C59"/>
    <w:rsid w:val="00732388"/>
    <w:rsid w:val="00745905"/>
    <w:rsid w:val="00750A0B"/>
    <w:rsid w:val="007544F6"/>
    <w:rsid w:val="00766F27"/>
    <w:rsid w:val="00771FC7"/>
    <w:rsid w:val="0078114E"/>
    <w:rsid w:val="007879E8"/>
    <w:rsid w:val="007A1B25"/>
    <w:rsid w:val="007A7EF5"/>
    <w:rsid w:val="007B1244"/>
    <w:rsid w:val="007D61E0"/>
    <w:rsid w:val="007E3FE1"/>
    <w:rsid w:val="007E554B"/>
    <w:rsid w:val="007E6FF6"/>
    <w:rsid w:val="007F07F8"/>
    <w:rsid w:val="007F128C"/>
    <w:rsid w:val="007F4D2C"/>
    <w:rsid w:val="008144EA"/>
    <w:rsid w:val="00824EBE"/>
    <w:rsid w:val="0082513E"/>
    <w:rsid w:val="008273C9"/>
    <w:rsid w:val="0086332B"/>
    <w:rsid w:val="00873C38"/>
    <w:rsid w:val="00882785"/>
    <w:rsid w:val="0089138A"/>
    <w:rsid w:val="00894787"/>
    <w:rsid w:val="00895000"/>
    <w:rsid w:val="008A25E9"/>
    <w:rsid w:val="008A65A1"/>
    <w:rsid w:val="008B24BF"/>
    <w:rsid w:val="008D0789"/>
    <w:rsid w:val="008D6AE1"/>
    <w:rsid w:val="008E5031"/>
    <w:rsid w:val="008E6897"/>
    <w:rsid w:val="008F103C"/>
    <w:rsid w:val="009041E5"/>
    <w:rsid w:val="00905E3A"/>
    <w:rsid w:val="00911E05"/>
    <w:rsid w:val="00911EFA"/>
    <w:rsid w:val="009169C4"/>
    <w:rsid w:val="00916E49"/>
    <w:rsid w:val="00923A3D"/>
    <w:rsid w:val="00931DE7"/>
    <w:rsid w:val="00933BA9"/>
    <w:rsid w:val="0094241B"/>
    <w:rsid w:val="00952748"/>
    <w:rsid w:val="009561E2"/>
    <w:rsid w:val="00977119"/>
    <w:rsid w:val="00980153"/>
    <w:rsid w:val="00983F09"/>
    <w:rsid w:val="009A42CA"/>
    <w:rsid w:val="009A55AA"/>
    <w:rsid w:val="009B15B5"/>
    <w:rsid w:val="009C255E"/>
    <w:rsid w:val="009D1C4F"/>
    <w:rsid w:val="009E0E57"/>
    <w:rsid w:val="009F58CE"/>
    <w:rsid w:val="009F7D20"/>
    <w:rsid w:val="00A1036A"/>
    <w:rsid w:val="00A159B3"/>
    <w:rsid w:val="00A352F0"/>
    <w:rsid w:val="00A36981"/>
    <w:rsid w:val="00A41183"/>
    <w:rsid w:val="00A41EE3"/>
    <w:rsid w:val="00A51146"/>
    <w:rsid w:val="00A71667"/>
    <w:rsid w:val="00A805B9"/>
    <w:rsid w:val="00A93DEE"/>
    <w:rsid w:val="00A95A78"/>
    <w:rsid w:val="00AA1820"/>
    <w:rsid w:val="00AB26E1"/>
    <w:rsid w:val="00AD1997"/>
    <w:rsid w:val="00AE0CC6"/>
    <w:rsid w:val="00AE79CA"/>
    <w:rsid w:val="00AF13FC"/>
    <w:rsid w:val="00B0669A"/>
    <w:rsid w:val="00B07AF0"/>
    <w:rsid w:val="00B1512A"/>
    <w:rsid w:val="00B22D4A"/>
    <w:rsid w:val="00B23071"/>
    <w:rsid w:val="00B23EB7"/>
    <w:rsid w:val="00B706ED"/>
    <w:rsid w:val="00B72388"/>
    <w:rsid w:val="00B8169D"/>
    <w:rsid w:val="00B875E8"/>
    <w:rsid w:val="00B959B3"/>
    <w:rsid w:val="00BB5FC3"/>
    <w:rsid w:val="00BB64B1"/>
    <w:rsid w:val="00BB761F"/>
    <w:rsid w:val="00BC2C97"/>
    <w:rsid w:val="00BD025D"/>
    <w:rsid w:val="00BD76CD"/>
    <w:rsid w:val="00BF1113"/>
    <w:rsid w:val="00BF6DEF"/>
    <w:rsid w:val="00C019FA"/>
    <w:rsid w:val="00C04914"/>
    <w:rsid w:val="00C07A2A"/>
    <w:rsid w:val="00C22764"/>
    <w:rsid w:val="00C231D3"/>
    <w:rsid w:val="00C36E32"/>
    <w:rsid w:val="00C40398"/>
    <w:rsid w:val="00C42379"/>
    <w:rsid w:val="00C66A4A"/>
    <w:rsid w:val="00C70DE0"/>
    <w:rsid w:val="00C84FE2"/>
    <w:rsid w:val="00C8551D"/>
    <w:rsid w:val="00C86492"/>
    <w:rsid w:val="00C90C2B"/>
    <w:rsid w:val="00CB3368"/>
    <w:rsid w:val="00CD12E3"/>
    <w:rsid w:val="00CD3E0B"/>
    <w:rsid w:val="00CE6DE0"/>
    <w:rsid w:val="00D114EF"/>
    <w:rsid w:val="00D263F1"/>
    <w:rsid w:val="00D313A3"/>
    <w:rsid w:val="00D60254"/>
    <w:rsid w:val="00D623A6"/>
    <w:rsid w:val="00D94316"/>
    <w:rsid w:val="00D97A9D"/>
    <w:rsid w:val="00DB7916"/>
    <w:rsid w:val="00DC24CB"/>
    <w:rsid w:val="00DC3467"/>
    <w:rsid w:val="00DE3E8D"/>
    <w:rsid w:val="00DF26C5"/>
    <w:rsid w:val="00E03C95"/>
    <w:rsid w:val="00E106B9"/>
    <w:rsid w:val="00E11B95"/>
    <w:rsid w:val="00E24D94"/>
    <w:rsid w:val="00E44E6E"/>
    <w:rsid w:val="00E54932"/>
    <w:rsid w:val="00E55EB5"/>
    <w:rsid w:val="00E56A0E"/>
    <w:rsid w:val="00E60D90"/>
    <w:rsid w:val="00E63417"/>
    <w:rsid w:val="00E819FF"/>
    <w:rsid w:val="00EA04A3"/>
    <w:rsid w:val="00EA73C1"/>
    <w:rsid w:val="00EB54F6"/>
    <w:rsid w:val="00EC0F55"/>
    <w:rsid w:val="00EC2200"/>
    <w:rsid w:val="00EC2A35"/>
    <w:rsid w:val="00ED6081"/>
    <w:rsid w:val="00ED7653"/>
    <w:rsid w:val="00EE09CD"/>
    <w:rsid w:val="00EE18CC"/>
    <w:rsid w:val="00EF0866"/>
    <w:rsid w:val="00EF39F5"/>
    <w:rsid w:val="00EF7114"/>
    <w:rsid w:val="00EF7A4E"/>
    <w:rsid w:val="00F04945"/>
    <w:rsid w:val="00F05BCC"/>
    <w:rsid w:val="00F17D02"/>
    <w:rsid w:val="00F26B9A"/>
    <w:rsid w:val="00F352A5"/>
    <w:rsid w:val="00F36D7D"/>
    <w:rsid w:val="00F37734"/>
    <w:rsid w:val="00F43CD1"/>
    <w:rsid w:val="00F50376"/>
    <w:rsid w:val="00F52A5A"/>
    <w:rsid w:val="00F54B06"/>
    <w:rsid w:val="00F763E7"/>
    <w:rsid w:val="00F8700C"/>
    <w:rsid w:val="00F87CB0"/>
    <w:rsid w:val="00FA48C3"/>
    <w:rsid w:val="00FC75C4"/>
    <w:rsid w:val="00FF0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FC7"/>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styleId="Revision">
    <w:name w:val="Revision"/>
    <w:hidden/>
    <w:uiPriority w:val="99"/>
    <w:semiHidden/>
    <w:rsid w:val="00C22764"/>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33738692">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804F5-49B9-AC4C-AE9A-283102893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622</Words>
  <Characters>3195</Characters>
  <Application>Microsoft Office Word</Application>
  <DocSecurity>0</DocSecurity>
  <Lines>72</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2020-04-10T12:00:00Z</dcterms:created>
  <dcterms:modified xsi:type="dcterms:W3CDTF">2020-04-11T04:09:00Z</dcterms:modified>
  <cp:category/>
</cp:coreProperties>
</file>